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724F" w14:textId="77777777" w:rsidR="00CE26AF" w:rsidRDefault="00CE26AF" w:rsidP="00CE26AF">
      <w:pPr>
        <w:pStyle w:val="Heading1"/>
      </w:pPr>
      <w:bookmarkStart w:id="0" w:name="_Toc233214699"/>
      <w:r>
        <w:rPr>
          <w:bdr w:val="none" w:sz="0" w:space="0" w:color="auto" w:frame="1"/>
        </w:rPr>
        <w:t>BAB IV</w:t>
      </w:r>
      <w:bookmarkEnd w:id="0"/>
    </w:p>
    <w:p w14:paraId="66FBF8E5" w14:textId="77777777" w:rsidR="00CE26AF" w:rsidRDefault="00CE26AF" w:rsidP="00CE26AF">
      <w:pPr>
        <w:pStyle w:val="Heading1"/>
      </w:pPr>
      <w:bookmarkStart w:id="1" w:name="_Toc233214700"/>
      <w:r>
        <w:rPr>
          <w:bdr w:val="none" w:sz="0" w:space="0" w:color="auto" w:frame="1"/>
        </w:rPr>
        <w:t>SINTESIS DAN DISKUSI</w:t>
      </w:r>
      <w:bookmarkEnd w:id="1"/>
    </w:p>
    <w:p w14:paraId="6B884BDF" w14:textId="77777777" w:rsidR="00CE26AF" w:rsidRPr="003B4AA9" w:rsidRDefault="00CE26AF" w:rsidP="00CE26AF">
      <w:pPr>
        <w:pStyle w:val="Heading2"/>
        <w:numPr>
          <w:ilvl w:val="2"/>
          <w:numId w:val="1"/>
        </w:numPr>
        <w:spacing w:before="360"/>
        <w:ind w:left="284" w:right="5247"/>
      </w:pPr>
      <w:bookmarkStart w:id="2" w:name="_Toc233214701"/>
      <w:r w:rsidRPr="003B4AA9">
        <w:t>Sintesis Temuan Utama</w:t>
      </w:r>
      <w:bookmarkEnd w:id="2"/>
      <w:r w:rsidRPr="003B4AA9">
        <w:t xml:space="preserve"> </w:t>
      </w:r>
    </w:p>
    <w:p w14:paraId="66D38C51"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 xml:space="preserve">Temuan dari kedua artikel ilmiah dalam portofolio ini merepresentasikan sebuah sintesis yang komprehensif mengenai ekosistem pendidikan Islam yang mengintegrasikan nilai-nilai fundamental salaf dengan ketangkasan pedagogik modern. Artikel pertama memotret dinamika mikro di dalam kelas, di mana degradasi moral akibat disrupsi teknologi digital dan tekanan teman sebaya menjadi tantangan utama. Tantangan ini direspons melalui keluwesan agensi guru yang menerapkan strategi kolaboratif, manajerial, dan </w:t>
      </w:r>
      <w:r>
        <w:rPr>
          <w:i/>
          <w:iCs/>
          <w:color w:val="1F1F1F"/>
          <w:bdr w:val="none" w:sz="0" w:space="0" w:color="auto" w:frame="1"/>
        </w:rPr>
        <w:t>Joyful Learning</w:t>
      </w:r>
      <w:r>
        <w:rPr>
          <w:color w:val="1F1F1F"/>
          <w:bdr w:val="none" w:sz="0" w:space="0" w:color="auto" w:frame="1"/>
        </w:rPr>
        <w:t xml:space="preserve"> (seperti </w:t>
      </w:r>
      <w:r>
        <w:rPr>
          <w:i/>
          <w:iCs/>
          <w:color w:val="1F1F1F"/>
          <w:bdr w:val="none" w:sz="0" w:space="0" w:color="auto" w:frame="1"/>
        </w:rPr>
        <w:t>Game-Based Learning</w:t>
      </w:r>
      <w:r>
        <w:rPr>
          <w:color w:val="1F1F1F"/>
          <w:bdr w:val="none" w:sz="0" w:space="0" w:color="auto" w:frame="1"/>
        </w:rPr>
        <w:t xml:space="preserve"> dan </w:t>
      </w:r>
      <w:r>
        <w:rPr>
          <w:i/>
          <w:iCs/>
          <w:color w:val="1F1F1F"/>
          <w:bdr w:val="none" w:sz="0" w:space="0" w:color="auto" w:frame="1"/>
        </w:rPr>
        <w:t>Storytelling</w:t>
      </w:r>
      <w:r>
        <w:rPr>
          <w:color w:val="1F1F1F"/>
          <w:bdr w:val="none" w:sz="0" w:space="0" w:color="auto" w:frame="1"/>
        </w:rPr>
        <w:t>).</w:t>
      </w:r>
      <w:r>
        <w:rPr>
          <w:color w:val="1F1F1F"/>
        </w:rPr>
        <w:t xml:space="preserve"> </w:t>
      </w:r>
    </w:p>
    <w:p w14:paraId="5CBAE540"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Di sisi lain, artikel kedua memotret landasan makro-institusional dari lingkungan pendidikan yang sama. Kurikulum di SD IT dan Pondok Pesantren Ihya' As-Sunnah dirancang secara integratif untuk memfasilitasi pemurnian akidah (</w:t>
      </w:r>
      <w:r>
        <w:rPr>
          <w:i/>
          <w:iCs/>
          <w:color w:val="1F1F1F"/>
          <w:bdr w:val="none" w:sz="0" w:space="0" w:color="auto" w:frame="1"/>
        </w:rPr>
        <w:t>Tasfiyah</w:t>
      </w:r>
      <w:r>
        <w:rPr>
          <w:color w:val="1F1F1F"/>
          <w:bdr w:val="none" w:sz="0" w:space="0" w:color="auto" w:frame="1"/>
        </w:rPr>
        <w:t>) dan pembinaan karakter (</w:t>
      </w:r>
      <w:r>
        <w:rPr>
          <w:i/>
          <w:iCs/>
          <w:color w:val="1F1F1F"/>
          <w:bdr w:val="none" w:sz="0" w:space="0" w:color="auto" w:frame="1"/>
        </w:rPr>
        <w:t>Tarbiyah</w:t>
      </w:r>
      <w:r>
        <w:rPr>
          <w:color w:val="1F1F1F"/>
          <w:bdr w:val="none" w:sz="0" w:space="0" w:color="auto" w:frame="1"/>
        </w:rPr>
        <w:t>) berlandaskan pemahaman Salafus Shalih. Sintesis dari kedua temuan ini membuktikan bahwa pembentukan adab yang kokoh di era digital tidak dapat dicapai semata-mata dengan kurikulum doktrinal yang kaku, melainkan memerlukan sinergi operasional antara keteguhan prinsip "Adab sebelum Ilmu" secara institusional dengan pendekatan pedagogis yang adaptif dan menyenangkan di ruang kelas.</w:t>
      </w:r>
      <w:r>
        <w:rPr>
          <w:color w:val="1F1F1F"/>
        </w:rPr>
        <w:t xml:space="preserve"> </w:t>
      </w:r>
    </w:p>
    <w:p w14:paraId="08F9C2B0" w14:textId="77777777" w:rsidR="00CE26AF" w:rsidRPr="00F310CE" w:rsidRDefault="00CE26AF" w:rsidP="00CE26AF">
      <w:pPr>
        <w:pStyle w:val="Heading2"/>
        <w:numPr>
          <w:ilvl w:val="2"/>
          <w:numId w:val="1"/>
        </w:numPr>
        <w:spacing w:before="360"/>
        <w:ind w:left="284" w:right="5247"/>
      </w:pPr>
      <w:bookmarkStart w:id="3" w:name="_Toc233214702"/>
      <w:r w:rsidRPr="00F310CE">
        <w:rPr>
          <w:bdr w:val="none" w:sz="0" w:space="0" w:color="auto" w:frame="1"/>
        </w:rPr>
        <w:t>Diskusi</w:t>
      </w:r>
      <w:bookmarkEnd w:id="3"/>
      <w:r w:rsidRPr="00F310CE">
        <w:rPr>
          <w:bdr w:val="none" w:sz="0" w:space="0" w:color="auto" w:frame="1"/>
        </w:rPr>
        <w:t xml:space="preserve"> </w:t>
      </w:r>
    </w:p>
    <w:p w14:paraId="70AE85C5"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Integrasi pendekatan antara keteguhan manhaj dan keluwesan pedagogik di Ihya' As-Sunnah Singkut menawarkan pengembangan diskursus baru dalam teori pendidikan karakter. Praktik rekayasa sosial (</w:t>
      </w:r>
      <w:r>
        <w:rPr>
          <w:i/>
          <w:iCs/>
          <w:color w:val="1F1F1F"/>
          <w:bdr w:val="none" w:sz="0" w:space="0" w:color="auto" w:frame="1"/>
        </w:rPr>
        <w:t>rolling seat</w:t>
      </w:r>
      <w:r>
        <w:rPr>
          <w:color w:val="1F1F1F"/>
          <w:bdr w:val="none" w:sz="0" w:space="0" w:color="auto" w:frame="1"/>
        </w:rPr>
        <w:t xml:space="preserve">) dan pendekatan emosional melalui </w:t>
      </w:r>
      <w:r>
        <w:rPr>
          <w:i/>
          <w:iCs/>
          <w:color w:val="1F1F1F"/>
          <w:bdr w:val="none" w:sz="0" w:space="0" w:color="auto" w:frame="1"/>
        </w:rPr>
        <w:t>storytelling</w:t>
      </w:r>
      <w:r>
        <w:rPr>
          <w:color w:val="1F1F1F"/>
          <w:bdr w:val="none" w:sz="0" w:space="0" w:color="auto" w:frame="1"/>
        </w:rPr>
        <w:t xml:space="preserve"> yang diulas dalam artikel pertama secara langsung merefleksikan teori Sosiokultural Lev Vygotsky dan tahap kognitif Jean Piaget. Guru memosisikan dirinya bukan sekadar instruktur, melainkan sebagai </w:t>
      </w:r>
      <w:r>
        <w:rPr>
          <w:i/>
          <w:iCs/>
          <w:color w:val="1F1F1F"/>
          <w:bdr w:val="none" w:sz="0" w:space="0" w:color="auto" w:frame="1"/>
        </w:rPr>
        <w:t>role model</w:t>
      </w:r>
      <w:r>
        <w:rPr>
          <w:color w:val="1F1F1F"/>
          <w:bdr w:val="none" w:sz="0" w:space="0" w:color="auto" w:frame="1"/>
        </w:rPr>
        <w:t xml:space="preserve"> yang memberikan </w:t>
      </w:r>
      <w:r>
        <w:rPr>
          <w:i/>
          <w:iCs/>
          <w:color w:val="1F1F1F"/>
          <w:bdr w:val="none" w:sz="0" w:space="0" w:color="auto" w:frame="1"/>
        </w:rPr>
        <w:t>scaffolding</w:t>
      </w:r>
      <w:r>
        <w:rPr>
          <w:color w:val="1F1F1F"/>
          <w:bdr w:val="none" w:sz="0" w:space="0" w:color="auto" w:frame="1"/>
        </w:rPr>
        <w:t xml:space="preserve"> moral.</w:t>
      </w:r>
      <w:r>
        <w:rPr>
          <w:color w:val="1F1F1F"/>
        </w:rPr>
        <w:t xml:space="preserve"> </w:t>
      </w:r>
    </w:p>
    <w:p w14:paraId="724EBA5E"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 xml:space="preserve">Kondisi tersebut diperkuat oleh temuan artikel kedua, yang mengafirmasi bahwa proses internalisasi nilai tidak berhenti di pintu kelas. Konsep </w:t>
      </w:r>
      <w:r>
        <w:rPr>
          <w:i/>
          <w:iCs/>
          <w:color w:val="1F1F1F"/>
          <w:bdr w:val="none" w:sz="0" w:space="0" w:color="auto" w:frame="1"/>
        </w:rPr>
        <w:t>Tarbiyah</w:t>
      </w:r>
      <w:r>
        <w:rPr>
          <w:color w:val="1F1F1F"/>
          <w:bdr w:val="none" w:sz="0" w:space="0" w:color="auto" w:frame="1"/>
        </w:rPr>
        <w:t xml:space="preserve"> dalam Manhaj Salafus Shalih yang menekankan pengamalan sunnah sehari-hari selaras dengan konsepsi </w:t>
      </w:r>
      <w:r>
        <w:rPr>
          <w:color w:val="1F1F1F"/>
          <w:bdr w:val="none" w:sz="0" w:space="0" w:color="auto" w:frame="1"/>
        </w:rPr>
        <w:lastRenderedPageBreak/>
        <w:t xml:space="preserve">Lickona mengenai tiga dimensi karakter: </w:t>
      </w:r>
      <w:r>
        <w:rPr>
          <w:i/>
          <w:iCs/>
          <w:color w:val="1F1F1F"/>
          <w:bdr w:val="none" w:sz="0" w:space="0" w:color="auto" w:frame="1"/>
        </w:rPr>
        <w:t>moral knowing</w:t>
      </w:r>
      <w:r>
        <w:rPr>
          <w:color w:val="1F1F1F"/>
          <w:bdr w:val="none" w:sz="0" w:space="0" w:color="auto" w:frame="1"/>
        </w:rPr>
        <w:t xml:space="preserve"> (kajian tauhid dan fiqih), </w:t>
      </w:r>
      <w:r>
        <w:rPr>
          <w:i/>
          <w:iCs/>
          <w:color w:val="1F1F1F"/>
          <w:bdr w:val="none" w:sz="0" w:space="0" w:color="auto" w:frame="1"/>
        </w:rPr>
        <w:t>moral feeling</w:t>
      </w:r>
      <w:r>
        <w:rPr>
          <w:color w:val="1F1F1F"/>
          <w:bdr w:val="none" w:sz="0" w:space="0" w:color="auto" w:frame="1"/>
        </w:rPr>
        <w:t xml:space="preserve"> (keteladanan ustadz/guru), dan </w:t>
      </w:r>
      <w:r>
        <w:rPr>
          <w:i/>
          <w:iCs/>
          <w:color w:val="1F1F1F"/>
          <w:bdr w:val="none" w:sz="0" w:space="0" w:color="auto" w:frame="1"/>
        </w:rPr>
        <w:t>moral action</w:t>
      </w:r>
      <w:r>
        <w:rPr>
          <w:color w:val="1F1F1F"/>
          <w:bdr w:val="none" w:sz="0" w:space="0" w:color="auto" w:frame="1"/>
        </w:rPr>
        <w:t xml:space="preserve"> (disiplin asrama dan shalat berjamaah). Dengan demikian, kurikulum Salaf yang diterapkan tidak mengalami kegagapan dalam menghadapi peserta didik berkarakter </w:t>
      </w:r>
      <w:r>
        <w:rPr>
          <w:i/>
          <w:iCs/>
          <w:color w:val="1F1F1F"/>
          <w:bdr w:val="none" w:sz="0" w:space="0" w:color="auto" w:frame="1"/>
        </w:rPr>
        <w:t>Digital Natives</w:t>
      </w:r>
      <w:r>
        <w:rPr>
          <w:color w:val="1F1F1F"/>
          <w:bdr w:val="none" w:sz="0" w:space="0" w:color="auto" w:frame="1"/>
        </w:rPr>
        <w:t xml:space="preserve"> (sebagaimana digagas Marc Prensky), karena ajaran Islam yang murni didelivery melalui metode yang memahami kebutuhan sosiologis dan psikologis peserta didik secara utuh.</w:t>
      </w:r>
      <w:r>
        <w:rPr>
          <w:color w:val="1F1F1F"/>
        </w:rPr>
        <w:t xml:space="preserve"> </w:t>
      </w:r>
    </w:p>
    <w:p w14:paraId="5150A641" w14:textId="77777777" w:rsidR="00CE26AF" w:rsidRPr="00F310CE" w:rsidRDefault="00CE26AF" w:rsidP="00CE26AF">
      <w:pPr>
        <w:pStyle w:val="Heading2"/>
        <w:numPr>
          <w:ilvl w:val="2"/>
          <w:numId w:val="1"/>
        </w:numPr>
        <w:spacing w:before="360"/>
        <w:ind w:left="284" w:right="5247"/>
      </w:pPr>
      <w:bookmarkStart w:id="4" w:name="_Toc233214703"/>
      <w:r w:rsidRPr="00F310CE">
        <w:rPr>
          <w:bdr w:val="none" w:sz="0" w:space="0" w:color="auto" w:frame="1"/>
        </w:rPr>
        <w:t>Implikasi Penelitian</w:t>
      </w:r>
      <w:bookmarkEnd w:id="4"/>
      <w:r w:rsidRPr="00F310CE">
        <w:rPr>
          <w:bdr w:val="none" w:sz="0" w:space="0" w:color="auto" w:frame="1"/>
        </w:rPr>
        <w:t xml:space="preserve"> </w:t>
      </w:r>
    </w:p>
    <w:p w14:paraId="1E06DA11"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Secara teoretis, penelitian portofolio ini berimplikasi pada pengayaan literatur mengenai model pendidikan integratif, membuktikan bahwa pendekatan Manhaj Salafus Shalih dan metode pendidikan modern (</w:t>
      </w:r>
      <w:r>
        <w:rPr>
          <w:i/>
          <w:iCs/>
          <w:color w:val="1F1F1F"/>
          <w:bdr w:val="none" w:sz="0" w:space="0" w:color="auto" w:frame="1"/>
        </w:rPr>
        <w:t>Joyful Learning</w:t>
      </w:r>
      <w:r>
        <w:rPr>
          <w:color w:val="1F1F1F"/>
          <w:bdr w:val="none" w:sz="0" w:space="0" w:color="auto" w:frame="1"/>
        </w:rPr>
        <w:t>) bukan merupakan dua kutub yang saling bertentangan, melainkan dapat disinergikan.</w:t>
      </w:r>
      <w:r>
        <w:rPr>
          <w:color w:val="1F1F1F"/>
        </w:rPr>
        <w:t xml:space="preserve"> </w:t>
      </w:r>
    </w:p>
    <w:p w14:paraId="07E87879"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Secara praktis, penelitian ini memberikan purwarupa (</w:t>
      </w:r>
      <w:r>
        <w:rPr>
          <w:i/>
          <w:iCs/>
          <w:color w:val="1F1F1F"/>
          <w:bdr w:val="none" w:sz="0" w:space="0" w:color="auto" w:frame="1"/>
        </w:rPr>
        <w:t>blueprint</w:t>
      </w:r>
      <w:r>
        <w:rPr>
          <w:color w:val="1F1F1F"/>
          <w:bdr w:val="none" w:sz="0" w:space="0" w:color="auto" w:frame="1"/>
        </w:rPr>
        <w:t xml:space="preserve">) bagi guru Akidah Akhlak dan pengelola sekolah-sekolah berlabel Islam Terpadu (SD IT/SMP IT) untuk menanggulangi dampak negatif penggunaan gawai dan media sosial. Hasil riset mengimplikasikan pentingnya penguatan </w:t>
      </w:r>
      <w:r>
        <w:rPr>
          <w:i/>
          <w:iCs/>
          <w:color w:val="1F1F1F"/>
          <w:bdr w:val="none" w:sz="0" w:space="0" w:color="auto" w:frame="1"/>
        </w:rPr>
        <w:t>digital parenting</w:t>
      </w:r>
      <w:r>
        <w:rPr>
          <w:color w:val="1F1F1F"/>
          <w:bdr w:val="none" w:sz="0" w:space="0" w:color="auto" w:frame="1"/>
        </w:rPr>
        <w:t xml:space="preserve"> antara sekolah dan orang tua untuk menyelaraskan </w:t>
      </w:r>
      <w:r>
        <w:rPr>
          <w:i/>
          <w:iCs/>
          <w:color w:val="1F1F1F"/>
          <w:bdr w:val="none" w:sz="0" w:space="0" w:color="auto" w:frame="1"/>
        </w:rPr>
        <w:t>mesosistem</w:t>
      </w:r>
      <w:r>
        <w:rPr>
          <w:color w:val="1F1F1F"/>
          <w:bdr w:val="none" w:sz="0" w:space="0" w:color="auto" w:frame="1"/>
        </w:rPr>
        <w:t xml:space="preserve"> pendidikan, serta perlunya diversifikasi metode belajar untuk memenangkan kembali atensi peserta didik di era disrupsi teknologi.</w:t>
      </w:r>
      <w:r>
        <w:rPr>
          <w:color w:val="1F1F1F"/>
        </w:rPr>
        <w:t xml:space="preserve"> </w:t>
      </w:r>
    </w:p>
    <w:p w14:paraId="7C627991" w14:textId="77777777" w:rsidR="00CE26AF" w:rsidRPr="00404CF4" w:rsidRDefault="00CE26AF" w:rsidP="00CE26AF">
      <w:pPr>
        <w:pStyle w:val="Heading2"/>
        <w:numPr>
          <w:ilvl w:val="2"/>
          <w:numId w:val="1"/>
        </w:numPr>
        <w:spacing w:before="360"/>
        <w:ind w:left="284" w:right="5247"/>
      </w:pPr>
      <w:bookmarkStart w:id="5" w:name="_Toc233214704"/>
      <w:r>
        <w:rPr>
          <w:bdr w:val="none" w:sz="0" w:space="0" w:color="auto" w:frame="1"/>
        </w:rPr>
        <w:t>Keterbatasan Penelitian</w:t>
      </w:r>
      <w:bookmarkEnd w:id="5"/>
      <w:r>
        <w:rPr>
          <w:bdr w:val="none" w:sz="0" w:space="0" w:color="auto" w:frame="1"/>
        </w:rPr>
        <w:t xml:space="preserve"> </w:t>
      </w:r>
    </w:p>
    <w:p w14:paraId="68DEB80B" w14:textId="77777777" w:rsidR="00CE26AF" w:rsidRDefault="00CE26AF" w:rsidP="00CE26AF">
      <w:pPr>
        <w:pStyle w:val="NormalWeb"/>
        <w:spacing w:after="0" w:afterAutospacing="0" w:line="360" w:lineRule="auto"/>
        <w:ind w:left="363" w:firstLine="363"/>
        <w:jc w:val="both"/>
        <w:rPr>
          <w:color w:val="1F1F1F"/>
        </w:rPr>
      </w:pPr>
      <w:r>
        <w:rPr>
          <w:color w:val="1F1F1F"/>
          <w:bdr w:val="none" w:sz="0" w:space="0" w:color="auto" w:frame="1"/>
        </w:rPr>
        <w:t>Penelitian ini berfokus secara mendalam pada satu ekosistem institusi pendidikan, yakni jenjang SD IT dan Pondok Pesantren Ihya' As-Sunnah Singkut, Kabupaten Sarolangun, Jambi. Meskipun memberikan kedalaman analisis (</w:t>
      </w:r>
      <w:r>
        <w:rPr>
          <w:i/>
          <w:iCs/>
          <w:color w:val="1F1F1F"/>
          <w:bdr w:val="none" w:sz="0" w:space="0" w:color="auto" w:frame="1"/>
        </w:rPr>
        <w:t>in-depth analysis</w:t>
      </w:r>
      <w:r>
        <w:rPr>
          <w:color w:val="1F1F1F"/>
          <w:bdr w:val="none" w:sz="0" w:space="0" w:color="auto" w:frame="1"/>
        </w:rPr>
        <w:t>), temuan ini memiliki keterbatasan dalam hal generalisasi jika diterapkan pada pesantren kultural atau sekolah umum dengan karakteristik demografis yang jauh berbeda. Selain itu, penelitian pada kedua artikel ini menggunakan pendekatan kualitatif dengan rentang waktu observasi yang terbatas. Penelitian ini belum mengukur efektivitas perubahan perilaku peserta didik dalam rentang waktu longitudinal (jangka panjang) pasca-kelulusan.</w:t>
      </w:r>
      <w:r>
        <w:rPr>
          <w:color w:val="1F1F1F"/>
        </w:rPr>
        <w:t xml:space="preserve"> </w:t>
      </w:r>
    </w:p>
    <w:p w14:paraId="35F7F053" w14:textId="77777777" w:rsidR="009539A0" w:rsidRDefault="009539A0"/>
    <w:sectPr w:rsidR="00953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77FD"/>
    <w:multiLevelType w:val="multilevel"/>
    <w:tmpl w:val="095EB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AF"/>
    <w:rsid w:val="00254E3C"/>
    <w:rsid w:val="003E3BEF"/>
    <w:rsid w:val="003F788D"/>
    <w:rsid w:val="005A2086"/>
    <w:rsid w:val="00650E0A"/>
    <w:rsid w:val="009539A0"/>
    <w:rsid w:val="00CE26AF"/>
    <w:rsid w:val="00D52F1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DC1F"/>
  <w15:chartTrackingRefBased/>
  <w15:docId w15:val="{E8D09325-7A02-4F93-B87D-FF778856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26AF"/>
    <w:pPr>
      <w:widowControl w:val="0"/>
      <w:autoSpaceDE w:val="0"/>
      <w:autoSpaceDN w:val="0"/>
      <w:spacing w:after="0" w:line="240" w:lineRule="auto"/>
      <w:ind w:left="358" w:right="1664"/>
      <w:jc w:val="center"/>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CE26AF"/>
    <w:pPr>
      <w:widowControl w:val="0"/>
      <w:autoSpaceDE w:val="0"/>
      <w:autoSpaceDN w:val="0"/>
      <w:spacing w:after="0" w:line="240" w:lineRule="auto"/>
      <w:ind w:right="5597"/>
      <w:jc w:val="both"/>
      <w:outlineLvl w:val="1"/>
    </w:pPr>
    <w:rPr>
      <w:rFonts w:ascii="Times New Roman" w:eastAsia="Times New Roman" w:hAnsi="Times New Roman" w:cs="Times New Roman"/>
      <w:b/>
      <w:bCs/>
      <w:spacing w:val="-10"/>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6A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CE26AF"/>
    <w:rPr>
      <w:rFonts w:ascii="Times New Roman" w:eastAsia="Times New Roman" w:hAnsi="Times New Roman" w:cs="Times New Roman"/>
      <w:b/>
      <w:bCs/>
      <w:spacing w:val="-10"/>
      <w:sz w:val="24"/>
      <w:szCs w:val="24"/>
      <w:lang w:val="id"/>
    </w:rPr>
  </w:style>
  <w:style w:type="paragraph" w:styleId="NormalWeb">
    <w:name w:val="Normal (Web)"/>
    <w:basedOn w:val="Normal"/>
    <w:uiPriority w:val="99"/>
    <w:unhideWhenUsed/>
    <w:rsid w:val="00CE26AF"/>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 wati</dc:creator>
  <cp:keywords/>
  <dc:description/>
  <cp:lastModifiedBy>fera wati</cp:lastModifiedBy>
  <cp:revision>1</cp:revision>
  <dcterms:created xsi:type="dcterms:W3CDTF">2026-06-25T05:30:00Z</dcterms:created>
  <dcterms:modified xsi:type="dcterms:W3CDTF">2026-06-25T05:30:00Z</dcterms:modified>
</cp:coreProperties>
</file>