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556A3" w14:textId="77777777" w:rsidR="00176B76" w:rsidRPr="005860E8" w:rsidRDefault="00176B76" w:rsidP="00176B76">
      <w:pPr>
        <w:pStyle w:val="Heading1"/>
        <w:spacing w:line="360" w:lineRule="auto"/>
        <w:jc w:val="center"/>
        <w:rPr>
          <w:lang w:val="id-ID"/>
        </w:rPr>
      </w:pPr>
      <w:bookmarkStart w:id="0" w:name="_Toc190368946"/>
      <w:bookmarkStart w:id="1" w:name="_Toc190369042"/>
      <w:bookmarkStart w:id="2" w:name="_Toc199351410"/>
      <w:bookmarkStart w:id="3" w:name="_GoBack"/>
      <w:r w:rsidRPr="005860E8">
        <w:rPr>
          <w:lang w:val="id-ID"/>
        </w:rPr>
        <w:t>DAFTAR PUSTAKA</w:t>
      </w:r>
      <w:bookmarkEnd w:id="0"/>
      <w:bookmarkEnd w:id="1"/>
      <w:bookmarkEnd w:id="2"/>
    </w:p>
    <w:bookmarkEnd w:id="3"/>
    <w:p w14:paraId="49E984D4" w14:textId="77777777" w:rsidR="00176B76" w:rsidRPr="005860E8" w:rsidRDefault="00176B76" w:rsidP="00176B76">
      <w:pPr>
        <w:jc w:val="both"/>
        <w:rPr>
          <w:rFonts w:asciiTheme="majorBidi" w:hAnsiTheme="majorBidi" w:cstheme="majorBidi"/>
          <w:sz w:val="24"/>
          <w:szCs w:val="24"/>
          <w:lang w:val="id-ID"/>
        </w:rPr>
      </w:pPr>
    </w:p>
    <w:p w14:paraId="1E999C26"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860E8">
        <w:rPr>
          <w:rFonts w:asciiTheme="majorBidi" w:hAnsiTheme="majorBidi" w:cstheme="majorBidi"/>
          <w:sz w:val="24"/>
          <w:szCs w:val="24"/>
          <w:lang w:val="id-ID"/>
        </w:rPr>
        <w:fldChar w:fldCharType="begin" w:fldLock="1"/>
      </w:r>
      <w:r w:rsidRPr="005860E8">
        <w:rPr>
          <w:rFonts w:asciiTheme="majorBidi" w:hAnsiTheme="majorBidi" w:cstheme="majorBidi"/>
          <w:sz w:val="24"/>
          <w:szCs w:val="24"/>
          <w:lang w:val="id-ID"/>
        </w:rPr>
        <w:instrText xml:space="preserve">ADDIN Mendeley Bibliography CSL_BIBLIOGRAPHY </w:instrText>
      </w:r>
      <w:r w:rsidRPr="005860E8">
        <w:rPr>
          <w:rFonts w:asciiTheme="majorBidi" w:hAnsiTheme="majorBidi" w:cstheme="majorBidi"/>
          <w:sz w:val="24"/>
          <w:szCs w:val="24"/>
          <w:lang w:val="id-ID"/>
        </w:rPr>
        <w:fldChar w:fldCharType="separate"/>
      </w:r>
      <w:r w:rsidRPr="005F32BD">
        <w:rPr>
          <w:rFonts w:ascii="Times New Roman" w:hAnsi="Times New Roman" w:cs="Times New Roman"/>
          <w:noProof/>
          <w:sz w:val="24"/>
          <w:szCs w:val="24"/>
        </w:rPr>
        <w:t xml:space="preserve">Charismana, Dian Satria, Heri Retnawati, and Happri Novriza Setya Dhewantoro. “Motivasi Belajar Dan Prestasi Belajar Pada Mata Pelajaran Ppkn Di Indonesia: Kajian Analisis Meta.” </w:t>
      </w:r>
      <w:r w:rsidRPr="005F32BD">
        <w:rPr>
          <w:rFonts w:ascii="Times New Roman" w:hAnsi="Times New Roman" w:cs="Times New Roman"/>
          <w:i/>
          <w:iCs/>
          <w:noProof/>
          <w:sz w:val="24"/>
          <w:szCs w:val="24"/>
        </w:rPr>
        <w:t>Bhineka Tunggal Ika: Kajian Teori Dan Praktik Pendidikan PKn</w:t>
      </w:r>
      <w:r w:rsidRPr="005F32BD">
        <w:rPr>
          <w:rFonts w:ascii="Times New Roman" w:hAnsi="Times New Roman" w:cs="Times New Roman"/>
          <w:noProof/>
          <w:sz w:val="24"/>
          <w:szCs w:val="24"/>
        </w:rPr>
        <w:t xml:space="preserve"> 9, no. 2 (2022): 99–113. https://doi.org/10.36706/jbti.v9i2.18333.</w:t>
      </w:r>
    </w:p>
    <w:p w14:paraId="06081D33"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 xml:space="preserve">Hidayah, Nurul Latifah. “Metode Pembelajaran Bahasa Arab Maharah Al-Qiro`ah (Ketrampilan Membaca) Bahasa Arab Dengan Cara Membaca Didepan Kelas Dan Ditirukan.” </w:t>
      </w:r>
      <w:r w:rsidRPr="005F32BD">
        <w:rPr>
          <w:rFonts w:ascii="Times New Roman" w:hAnsi="Times New Roman" w:cs="Times New Roman"/>
          <w:i/>
          <w:iCs/>
          <w:noProof/>
          <w:sz w:val="24"/>
          <w:szCs w:val="24"/>
        </w:rPr>
        <w:t>Prosiding Konferensi Nasional Bahasa Arab VI</w:t>
      </w:r>
      <w:r w:rsidRPr="005F32BD">
        <w:rPr>
          <w:rFonts w:ascii="Times New Roman" w:hAnsi="Times New Roman" w:cs="Times New Roman"/>
          <w:noProof/>
          <w:sz w:val="24"/>
          <w:szCs w:val="24"/>
        </w:rPr>
        <w:t>, 2020, 246–53.</w:t>
      </w:r>
    </w:p>
    <w:p w14:paraId="0054D445"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Keislaman, Jurnal Ilmu-ilmu. “Al-Mutsla” 4, no. 1 (2022): 1–9.</w:t>
      </w:r>
    </w:p>
    <w:p w14:paraId="51600B05"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 xml:space="preserve">Kusumastuti, Tika, Mukhlis Fatkhurrohman, and Muhammad Fatchurrohman. “Implementasi Metode Menghafal Qur’an 3T+1M Dalam Meningkatkan Kualitas Hafalan Santri.” </w:t>
      </w:r>
      <w:r w:rsidRPr="005F32BD">
        <w:rPr>
          <w:rFonts w:ascii="Times New Roman" w:hAnsi="Times New Roman" w:cs="Times New Roman"/>
          <w:i/>
          <w:iCs/>
          <w:noProof/>
          <w:sz w:val="24"/>
          <w:szCs w:val="24"/>
        </w:rPr>
        <w:t>Al’Ulum Jurnal Pendidikan Islam</w:t>
      </w:r>
      <w:r w:rsidRPr="005F32BD">
        <w:rPr>
          <w:rFonts w:ascii="Times New Roman" w:hAnsi="Times New Roman" w:cs="Times New Roman"/>
          <w:noProof/>
          <w:sz w:val="24"/>
          <w:szCs w:val="24"/>
        </w:rPr>
        <w:t xml:space="preserve"> 2, no. 2 (2022): 259. https://doi.org/10.54090/aujpai.v2i2.3.</w:t>
      </w:r>
    </w:p>
    <w:p w14:paraId="6C93A23F"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 xml:space="preserve">Lestari, Nanda, Renren Nurfauziah, Rihhad Nazhmi Maulana, and Shalma Herwinadira. “Pengaruh Belajar Bahasa Arab Terhadap Kemudahan Menghafal Al- Qur ’ an Santri Ma ’ Had Aly Pondok Qur ’ an Bandung.” </w:t>
      </w:r>
      <w:r w:rsidRPr="005F32BD">
        <w:rPr>
          <w:rFonts w:ascii="Times New Roman" w:hAnsi="Times New Roman" w:cs="Times New Roman"/>
          <w:i/>
          <w:iCs/>
          <w:noProof/>
          <w:sz w:val="24"/>
          <w:szCs w:val="24"/>
        </w:rPr>
        <w:t>AL-MAZAYA Jurnal Pendidikan Bahasa Arab</w:t>
      </w:r>
      <w:r w:rsidRPr="005F32BD">
        <w:rPr>
          <w:rFonts w:ascii="Times New Roman" w:hAnsi="Times New Roman" w:cs="Times New Roman"/>
          <w:noProof/>
          <w:sz w:val="24"/>
          <w:szCs w:val="24"/>
        </w:rPr>
        <w:t xml:space="preserve"> 1, no. 1 (2023): 51–61.</w:t>
      </w:r>
    </w:p>
    <w:p w14:paraId="76C43488"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 xml:space="preserve">Marlius, Yoni, Bambang Bambang, and Metsra Wirman. “The Efforts to Improve Students’ Arabic Speaking Skills Through Language Environment Activation: A Study of Phenomenology.” </w:t>
      </w:r>
      <w:r w:rsidRPr="005F32BD">
        <w:rPr>
          <w:rFonts w:ascii="Times New Roman" w:hAnsi="Times New Roman" w:cs="Times New Roman"/>
          <w:i/>
          <w:iCs/>
          <w:noProof/>
          <w:sz w:val="24"/>
          <w:szCs w:val="24"/>
        </w:rPr>
        <w:t>Al-Ta’rib : Jurnal Ilmiah Program Studi Pendidikan Bahasa Arab IAIN Palangka Raya</w:t>
      </w:r>
      <w:r w:rsidRPr="005F32BD">
        <w:rPr>
          <w:rFonts w:ascii="Times New Roman" w:hAnsi="Times New Roman" w:cs="Times New Roman"/>
          <w:noProof/>
          <w:sz w:val="24"/>
          <w:szCs w:val="24"/>
        </w:rPr>
        <w:t xml:space="preserve"> 9, no. 1 (2021): 35–48. https://doi.org/10.23971/altarib.v9i1.2585.</w:t>
      </w:r>
    </w:p>
    <w:p w14:paraId="60204A1A"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 xml:space="preserve">Mashuri, Imam, and dkk. “Implementasi Metode Tikrar Dalam Meningkatkan Kemampuan Menghafal Siswa Pada Program Tahfidzul Qur’an Siswa Kelas IX MTs Darul Amien Jajag Gambiran Banyuwangi.” </w:t>
      </w:r>
      <w:r w:rsidRPr="005F32BD">
        <w:rPr>
          <w:rFonts w:ascii="Times New Roman" w:hAnsi="Times New Roman" w:cs="Times New Roman"/>
          <w:i/>
          <w:iCs/>
          <w:noProof/>
          <w:sz w:val="24"/>
          <w:szCs w:val="24"/>
        </w:rPr>
        <w:t xml:space="preserve">TARBIYATUNA: Kajian </w:t>
      </w:r>
      <w:r w:rsidRPr="005F32BD">
        <w:rPr>
          <w:rFonts w:ascii="Times New Roman" w:hAnsi="Times New Roman" w:cs="Times New Roman"/>
          <w:i/>
          <w:iCs/>
          <w:noProof/>
          <w:sz w:val="24"/>
          <w:szCs w:val="24"/>
        </w:rPr>
        <w:lastRenderedPageBreak/>
        <w:t>Pendidikan Islam</w:t>
      </w:r>
      <w:r w:rsidRPr="005F32BD">
        <w:rPr>
          <w:rFonts w:ascii="Times New Roman" w:hAnsi="Times New Roman" w:cs="Times New Roman"/>
          <w:noProof/>
          <w:sz w:val="24"/>
          <w:szCs w:val="24"/>
        </w:rPr>
        <w:t xml:space="preserve"> 6, no. 1 (2022): 99–122.</w:t>
      </w:r>
    </w:p>
    <w:p w14:paraId="51C7BBA9"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 xml:space="preserve">Munawarah, Munawarah, and Zulkiflih Zulkiflih. “Pembelajaran Keterampilan Menulis (Maharah Al-Kitabah) Dalam Bahasa Arab.” </w:t>
      </w:r>
      <w:r w:rsidRPr="005F32BD">
        <w:rPr>
          <w:rFonts w:ascii="Times New Roman" w:hAnsi="Times New Roman" w:cs="Times New Roman"/>
          <w:i/>
          <w:iCs/>
          <w:noProof/>
          <w:sz w:val="24"/>
          <w:szCs w:val="24"/>
        </w:rPr>
        <w:t>Loghat Arabi : Jurnal Bahasa Arab Dan Pendidikan Bahasa Arab</w:t>
      </w:r>
      <w:r w:rsidRPr="005F32BD">
        <w:rPr>
          <w:rFonts w:ascii="Times New Roman" w:hAnsi="Times New Roman" w:cs="Times New Roman"/>
          <w:noProof/>
          <w:sz w:val="24"/>
          <w:szCs w:val="24"/>
        </w:rPr>
        <w:t xml:space="preserve"> 1, no. 2 (2021): 22. https://doi.org/10.36915/la.v1i2.15.</w:t>
      </w:r>
    </w:p>
    <w:p w14:paraId="767711AA"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 xml:space="preserve">Nasier, Gamal Abdel. “Urgensi Minat Menghafal Al-Qur’an Dan Kemampuan Berbahasa Arab Bagi Peningkatan Prestasi Tahfizh Al-Qur’an.” </w:t>
      </w:r>
      <w:r w:rsidRPr="005F32BD">
        <w:rPr>
          <w:rFonts w:ascii="Times New Roman" w:hAnsi="Times New Roman" w:cs="Times New Roman"/>
          <w:i/>
          <w:iCs/>
          <w:noProof/>
          <w:sz w:val="24"/>
          <w:szCs w:val="24"/>
        </w:rPr>
        <w:t>Jurnal Statement : Media Informasi Sosial Dan Pendidikan</w:t>
      </w:r>
      <w:r w:rsidRPr="005F32BD">
        <w:rPr>
          <w:rFonts w:ascii="Times New Roman" w:hAnsi="Times New Roman" w:cs="Times New Roman"/>
          <w:noProof/>
          <w:sz w:val="24"/>
          <w:szCs w:val="24"/>
        </w:rPr>
        <w:t xml:space="preserve"> 10, no. 1 (2020): 79–106. https://doi.org/10.56745/js.v10i1.20.</w:t>
      </w:r>
    </w:p>
    <w:p w14:paraId="50EDADB4"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 xml:space="preserve">Nurfitriani, Rahmah, Muhammad Almi Hidayat, and Musradinur Musradinur. “Implementasi Metode Kitabah Dan Metode Wahdah Dalam Pembelajaran Tahfidz Siswa Sekolah Dasar.” </w:t>
      </w:r>
      <w:r w:rsidRPr="005F32BD">
        <w:rPr>
          <w:rFonts w:ascii="Times New Roman" w:hAnsi="Times New Roman" w:cs="Times New Roman"/>
          <w:i/>
          <w:iCs/>
          <w:noProof/>
          <w:sz w:val="24"/>
          <w:szCs w:val="24"/>
        </w:rPr>
        <w:t>Pionir: Jurnal Pendidikan</w:t>
      </w:r>
      <w:r w:rsidRPr="005F32BD">
        <w:rPr>
          <w:rFonts w:ascii="Times New Roman" w:hAnsi="Times New Roman" w:cs="Times New Roman"/>
          <w:noProof/>
          <w:sz w:val="24"/>
          <w:szCs w:val="24"/>
        </w:rPr>
        <w:t xml:space="preserve"> 11, no. 2 (2022): 87–99. https://doi.org/10.22373/pjp.v11i2.13642.</w:t>
      </w:r>
    </w:p>
    <w:p w14:paraId="492DB179"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 xml:space="preserve">Nursiah, and Nur Fadilah Amin. “Pengaruh Penguasaan Bahasa Arab Terhadap Kemampuan Menghafal Al-Qur’an Mahasiswi Semester II Ma’Had Al-Birr Makassar.” </w:t>
      </w:r>
      <w:r w:rsidRPr="005F32BD">
        <w:rPr>
          <w:rFonts w:ascii="Times New Roman" w:hAnsi="Times New Roman" w:cs="Times New Roman"/>
          <w:i/>
          <w:iCs/>
          <w:noProof/>
          <w:sz w:val="24"/>
          <w:szCs w:val="24"/>
        </w:rPr>
        <w:t>Al-Maraji’: Jurnal Pendidikan Bahasa Arab</w:t>
      </w:r>
      <w:r w:rsidRPr="005F32BD">
        <w:rPr>
          <w:rFonts w:ascii="Times New Roman" w:hAnsi="Times New Roman" w:cs="Times New Roman"/>
          <w:noProof/>
          <w:sz w:val="24"/>
          <w:szCs w:val="24"/>
        </w:rPr>
        <w:t xml:space="preserve"> 1, no. 1 (2017): 60–75.</w:t>
      </w:r>
    </w:p>
    <w:p w14:paraId="78FE5C0D"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Robbaniyah, Qiyadah, Roidah Lina, and Amelia Falensyana. “At Turots : Jurnal Pendidikan Islam Studi Kasus Santriwati Halaqoh Khotm Islamic Center Bin Baz Dalam Memilih Jurusan Kuliah Case Study of Student Halaqah Khotm Islamic Center Bin Baz in Choosing College Majors” 4, no. 1 (2022): 11–22.</w:t>
      </w:r>
    </w:p>
    <w:p w14:paraId="511E4A8B"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 xml:space="preserve">Sahbuki Ritonga. “Rekapitulasi Rata-Rata Data Hasil Wawancara Calon Mahasiswa Sekolah Tinggi Ilmu Tarbiyah Al Bukhary Labuhanbatu Tahun 2023.” </w:t>
      </w:r>
      <w:r w:rsidRPr="005F32BD">
        <w:rPr>
          <w:rFonts w:ascii="Times New Roman" w:hAnsi="Times New Roman" w:cs="Times New Roman"/>
          <w:i/>
          <w:iCs/>
          <w:noProof/>
          <w:sz w:val="24"/>
          <w:szCs w:val="24"/>
        </w:rPr>
        <w:t>Tarbiyah Bil Qalam : Jurnal Pendidikan Agama Dan Sains</w:t>
      </w:r>
      <w:r w:rsidRPr="005F32BD">
        <w:rPr>
          <w:rFonts w:ascii="Times New Roman" w:hAnsi="Times New Roman" w:cs="Times New Roman"/>
          <w:noProof/>
          <w:sz w:val="24"/>
          <w:szCs w:val="24"/>
        </w:rPr>
        <w:t xml:space="preserve"> 7, no. 2 (2023): 1–6. https://doi.org/10.58822/tbq.v7i2.158.</w:t>
      </w:r>
    </w:p>
    <w:p w14:paraId="121E9F06"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 xml:space="preserve">Saifullah, Iman, Nurul Husyaeni Nur Fitri, and Nurul Fatonah. “Pengaruh Pelaksanaan Metode Tikrar Terhadap Hafalan Al-Quran Peserta Didik.” </w:t>
      </w:r>
      <w:r w:rsidRPr="005F32BD">
        <w:rPr>
          <w:rFonts w:ascii="Times New Roman" w:hAnsi="Times New Roman" w:cs="Times New Roman"/>
          <w:i/>
          <w:iCs/>
          <w:noProof/>
          <w:sz w:val="24"/>
          <w:szCs w:val="24"/>
        </w:rPr>
        <w:t>Paedagogie: Jurnal Pendidikan Dan Studi Islam</w:t>
      </w:r>
      <w:r w:rsidRPr="005F32BD">
        <w:rPr>
          <w:rFonts w:ascii="Times New Roman" w:hAnsi="Times New Roman" w:cs="Times New Roman"/>
          <w:noProof/>
          <w:sz w:val="24"/>
          <w:szCs w:val="24"/>
        </w:rPr>
        <w:t xml:space="preserve"> 3, no. 02 (2022): 149–65. </w:t>
      </w:r>
      <w:r w:rsidRPr="005F32BD">
        <w:rPr>
          <w:rFonts w:ascii="Times New Roman" w:hAnsi="Times New Roman" w:cs="Times New Roman"/>
          <w:noProof/>
          <w:sz w:val="24"/>
          <w:szCs w:val="24"/>
        </w:rPr>
        <w:lastRenderedPageBreak/>
        <w:t>https://doi.org/10.52593/pdg.03.2.04.</w:t>
      </w:r>
    </w:p>
    <w:p w14:paraId="3BC76B91"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 xml:space="preserve">Salida, Ainun, and Zulpina Zulpina. “Keistimewaan Bahasa Arab Sebagai Bahasa Al-Quran Dan Ijtihadiyyah.” </w:t>
      </w:r>
      <w:r w:rsidRPr="005F32BD">
        <w:rPr>
          <w:rFonts w:ascii="Times New Roman" w:hAnsi="Times New Roman" w:cs="Times New Roman"/>
          <w:i/>
          <w:iCs/>
          <w:noProof/>
          <w:sz w:val="24"/>
          <w:szCs w:val="24"/>
        </w:rPr>
        <w:t>Jurnal Sathar</w:t>
      </w:r>
      <w:r w:rsidRPr="005F32BD">
        <w:rPr>
          <w:rFonts w:ascii="Times New Roman" w:hAnsi="Times New Roman" w:cs="Times New Roman"/>
          <w:noProof/>
          <w:sz w:val="24"/>
          <w:szCs w:val="24"/>
        </w:rPr>
        <w:t xml:space="preserve"> 1, no. 1 (2023): 23–33. https://doi.org/10.59548/js.v1i1.40.</w:t>
      </w:r>
    </w:p>
    <w:p w14:paraId="6C7670F7"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 xml:space="preserve">Shihab, M Quraish. “Wawasan Al-Qur’an: Tafsir Maudhu’I.” </w:t>
      </w:r>
      <w:r w:rsidRPr="005F32BD">
        <w:rPr>
          <w:rFonts w:ascii="Times New Roman" w:hAnsi="Times New Roman" w:cs="Times New Roman"/>
          <w:i/>
          <w:iCs/>
          <w:noProof/>
          <w:sz w:val="24"/>
          <w:szCs w:val="24"/>
        </w:rPr>
        <w:t>Bandung: PT Mizan Pustaka</w:t>
      </w:r>
      <w:r w:rsidRPr="005F32BD">
        <w:rPr>
          <w:rFonts w:ascii="Times New Roman" w:hAnsi="Times New Roman" w:cs="Times New Roman"/>
          <w:noProof/>
          <w:sz w:val="24"/>
          <w:szCs w:val="24"/>
        </w:rPr>
        <w:t>, no. November (2007).</w:t>
      </w:r>
    </w:p>
    <w:p w14:paraId="16D8A506"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5F32BD">
        <w:rPr>
          <w:rFonts w:ascii="Times New Roman" w:hAnsi="Times New Roman" w:cs="Times New Roman"/>
          <w:noProof/>
          <w:sz w:val="24"/>
          <w:szCs w:val="24"/>
        </w:rPr>
        <w:t>Survei, A Penelitian. “JENIS-JENIS PENELITIAN,” 2021, 1–15.</w:t>
      </w:r>
    </w:p>
    <w:p w14:paraId="103FA33C" w14:textId="77777777" w:rsidR="00176B76" w:rsidRPr="005F32BD" w:rsidRDefault="00176B76" w:rsidP="00176B76">
      <w:pPr>
        <w:widowControl w:val="0"/>
        <w:autoSpaceDE w:val="0"/>
        <w:autoSpaceDN w:val="0"/>
        <w:adjustRightInd w:val="0"/>
        <w:spacing w:line="360" w:lineRule="auto"/>
        <w:ind w:left="480" w:hanging="480"/>
        <w:jc w:val="both"/>
        <w:rPr>
          <w:rFonts w:ascii="Times New Roman" w:hAnsi="Times New Roman" w:cs="Times New Roman"/>
          <w:noProof/>
          <w:sz w:val="24"/>
        </w:rPr>
      </w:pPr>
      <w:r w:rsidRPr="005F32BD">
        <w:rPr>
          <w:rFonts w:ascii="Times New Roman" w:hAnsi="Times New Roman" w:cs="Times New Roman"/>
          <w:noProof/>
          <w:sz w:val="24"/>
          <w:szCs w:val="24"/>
        </w:rPr>
        <w:t xml:space="preserve">Umareni, Unaisah Soehardin, and Eko Ngabdul Shodikin. “Evaluasi Pembelajaran Bahasa Arab Kelas 7 Di Marhalah Salafiyah Wustho Pondok Pesantren Islamic Centre Bin Baz Putri Yogyakarta.” </w:t>
      </w:r>
      <w:r w:rsidRPr="005F32BD">
        <w:rPr>
          <w:rFonts w:ascii="Times New Roman" w:hAnsi="Times New Roman" w:cs="Times New Roman"/>
          <w:i/>
          <w:iCs/>
          <w:noProof/>
          <w:sz w:val="24"/>
          <w:szCs w:val="24"/>
        </w:rPr>
        <w:t>ASCENT: Al-Bahjah Journal of Islamic Education Management</w:t>
      </w:r>
      <w:r w:rsidRPr="005F32BD">
        <w:rPr>
          <w:rFonts w:ascii="Times New Roman" w:hAnsi="Times New Roman" w:cs="Times New Roman"/>
          <w:noProof/>
          <w:sz w:val="24"/>
          <w:szCs w:val="24"/>
        </w:rPr>
        <w:t xml:space="preserve"> 2, no. 1 (2024): 27–35. https://doi.org/10.61553/ascent.v2i1.157.</w:t>
      </w:r>
    </w:p>
    <w:p w14:paraId="6AC3F5B5" w14:textId="06A61EEC" w:rsidR="00536829" w:rsidRPr="00176B76" w:rsidRDefault="00176B76" w:rsidP="00176B76">
      <w:pPr>
        <w:spacing w:line="360" w:lineRule="auto"/>
        <w:ind w:left="-284" w:firstLine="284"/>
        <w:jc w:val="both"/>
        <w:rPr>
          <w:rFonts w:asciiTheme="majorBidi" w:hAnsiTheme="majorBidi" w:cstheme="majorBidi"/>
          <w:sz w:val="24"/>
          <w:szCs w:val="24"/>
          <w:lang w:val="id-ID"/>
        </w:rPr>
      </w:pPr>
      <w:r w:rsidRPr="005860E8">
        <w:rPr>
          <w:rFonts w:asciiTheme="majorBidi" w:hAnsiTheme="majorBidi" w:cstheme="majorBidi"/>
          <w:sz w:val="24"/>
          <w:szCs w:val="24"/>
          <w:lang w:val="id-ID"/>
        </w:rPr>
        <w:fldChar w:fldCharType="end"/>
      </w:r>
    </w:p>
    <w:sectPr w:rsidR="00536829" w:rsidRPr="00176B76" w:rsidSect="00176B7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76"/>
    <w:rsid w:val="00176B76"/>
    <w:rsid w:val="0053682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3E67"/>
  <w15:chartTrackingRefBased/>
  <w15:docId w15:val="{07732DD1-6046-44CE-B6E3-C4184F82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B76"/>
    <w:rPr>
      <w:kern w:val="2"/>
      <w14:ligatures w14:val="standardContextual"/>
    </w:rPr>
  </w:style>
  <w:style w:type="paragraph" w:styleId="Heading1">
    <w:name w:val="heading 1"/>
    <w:basedOn w:val="Normal"/>
    <w:next w:val="Normal"/>
    <w:link w:val="Heading1Char"/>
    <w:uiPriority w:val="9"/>
    <w:qFormat/>
    <w:rsid w:val="00176B76"/>
    <w:pPr>
      <w:outlineLvl w:val="0"/>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B76"/>
    <w:rPr>
      <w:rFonts w:asciiTheme="majorBidi" w:hAnsiTheme="majorBidi" w:cstheme="majorBidi"/>
      <w:b/>
      <w:bCs/>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ijul ghifari</dc:creator>
  <cp:keywords/>
  <dc:description/>
  <cp:lastModifiedBy>ijul ghifari</cp:lastModifiedBy>
  <cp:revision>1</cp:revision>
  <dcterms:created xsi:type="dcterms:W3CDTF">2025-06-12T04:42:00Z</dcterms:created>
  <dcterms:modified xsi:type="dcterms:W3CDTF">2025-06-12T04:44:00Z</dcterms:modified>
</cp:coreProperties>
</file>